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ind w:firstLine="480" w:firstLineChars="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燃油进入和喷出高压油管是许多燃油发动机工作的基础，图1给出了某高压燃油系统的工作原理，燃油经过高压油泵从</w:t>
      </w:r>
      <w:r>
        <w:rPr>
          <w:rFonts w:hint="eastAsia"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处进入高压油管，再由喷口</w:t>
      </w:r>
      <w:r>
        <w:rPr>
          <w:rFonts w:hint="eastAsia"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喷出。燃油进入和喷出的间歇性工作过程会导致高压油管内压力的</w:t>
      </w:r>
      <w:r>
        <w:rPr>
          <w:rFonts w:hint="eastAsia" w:ascii="Times New Roman" w:hAnsi="Times New Roman" w:cs="Times New Roman"/>
          <w:sz w:val="24"/>
          <w:szCs w:val="24"/>
        </w:rPr>
        <w:t>变化</w:t>
      </w:r>
      <w:r>
        <w:rPr>
          <w:rFonts w:ascii="Times New Roman" w:hAnsi="Times New Roman" w:cs="Times New Roman"/>
          <w:sz w:val="24"/>
          <w:szCs w:val="24"/>
        </w:rPr>
        <w:t>，使得所喷出的燃油量出现偏差，从而影响发动机的工作效率。</w:t>
      </w:r>
    </w:p>
    <w:p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3220720" cy="668655"/>
            <wp:effectExtent l="0" t="0" r="5080" b="4445"/>
            <wp:docPr id="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6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4904" cy="66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图1 高压油管示意图</w:t>
      </w:r>
    </w:p>
    <w:p>
      <w:pPr>
        <w:spacing w:line="360" w:lineRule="auto"/>
        <w:ind w:firstLine="482" w:firstLineChars="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问题1. </w:t>
      </w:r>
      <w:r>
        <w:rPr>
          <w:rFonts w:ascii="Times New Roman" w:hAnsi="Times New Roman" w:cs="Times New Roman"/>
          <w:sz w:val="24"/>
          <w:szCs w:val="24"/>
        </w:rPr>
        <w:t>某型号高压油管的内腔长度为500mm，内直径为10mm，供油入口</w:t>
      </w:r>
      <w:r>
        <w:rPr>
          <w:rFonts w:hint="eastAsia"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处小孔的直径为1.4mm，通过单向阀开关控制供油时间的长短，单向阀每打开一次后就要关闭10ms。喷油器每秒工作10次，每次工作时喷油时间为2.4ms，喷油器</w:t>
      </w:r>
      <w:r>
        <w:rPr>
          <w:rFonts w:hint="eastAsia" w:ascii="Times New Roman" w:hAnsi="Times New Roman" w:cs="Times New Roman"/>
          <w:sz w:val="24"/>
          <w:szCs w:val="24"/>
        </w:rPr>
        <w:t>工作时从喷油嘴B处向外</w:t>
      </w:r>
      <w:r>
        <w:rPr>
          <w:rFonts w:ascii="Times New Roman" w:hAnsi="Times New Roman" w:cs="Times New Roman"/>
          <w:sz w:val="24"/>
          <w:szCs w:val="24"/>
        </w:rPr>
        <w:t>喷油的速率如图2所示。高压油泵在入口</w:t>
      </w:r>
      <w:r>
        <w:rPr>
          <w:rFonts w:hint="eastAsia"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处提供的压力恒为160</w:t>
      </w:r>
      <w:r>
        <w:rPr>
          <w:rFonts w:hint="eastAsia"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MPa，高压油管内的初始压力为100</w:t>
      </w:r>
      <w:r>
        <w:rPr>
          <w:rFonts w:hint="eastAsia"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MPa。如果要将高压油管内的压力尽可能稳定在100 M</w:t>
      </w:r>
      <w:r>
        <w:rPr>
          <w:rFonts w:hint="eastAsia"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a左右，如何设置单向阀每次开启的时</w:t>
      </w:r>
      <w:r>
        <w:rPr>
          <w:rFonts w:hint="eastAsia" w:ascii="Times New Roman" w:hAnsi="Times New Roman" w:cs="Times New Roman"/>
          <w:sz w:val="24"/>
          <w:szCs w:val="24"/>
        </w:rPr>
        <w:t>长</w:t>
      </w:r>
      <w:r>
        <w:rPr>
          <w:rFonts w:ascii="Times New Roman" w:hAnsi="Times New Roman" w:cs="Times New Roman"/>
          <w:sz w:val="24"/>
          <w:szCs w:val="24"/>
        </w:rPr>
        <w:t>？如果要将高压油管内的压力从100 MPa</w:t>
      </w:r>
      <w:r>
        <w:rPr>
          <w:rFonts w:hint="eastAsia" w:ascii="Times New Roman" w:hAnsi="Times New Roman" w:cs="Times New Roman"/>
          <w:sz w:val="24"/>
          <w:szCs w:val="24"/>
        </w:rPr>
        <w:t>增加</w:t>
      </w:r>
      <w:r>
        <w:rPr>
          <w:rFonts w:ascii="Times New Roman" w:hAnsi="Times New Roman" w:cs="Times New Roman"/>
          <w:sz w:val="24"/>
          <w:szCs w:val="24"/>
        </w:rPr>
        <w:t>到150 MPa，</w:t>
      </w:r>
      <w:r>
        <w:rPr>
          <w:rFonts w:hint="eastAsia" w:ascii="Times New Roman" w:hAnsi="Times New Roman" w:cs="Times New Roman"/>
          <w:sz w:val="24"/>
          <w:szCs w:val="24"/>
        </w:rPr>
        <w:t>且</w:t>
      </w:r>
      <w:r>
        <w:rPr>
          <w:rFonts w:ascii="Times New Roman" w:hAnsi="Times New Roman" w:cs="Times New Roman"/>
          <w:sz w:val="24"/>
          <w:szCs w:val="24"/>
        </w:rPr>
        <w:t>分别</w:t>
      </w:r>
      <w:r>
        <w:rPr>
          <w:rFonts w:hint="eastAsia" w:ascii="Times New Roman" w:hAnsi="Times New Roman" w:cs="Times New Roman"/>
          <w:sz w:val="24"/>
          <w:szCs w:val="24"/>
        </w:rPr>
        <w:t>经过约</w:t>
      </w:r>
      <w:r>
        <w:rPr>
          <w:rFonts w:ascii="Times New Roman" w:hAnsi="Times New Roman" w:cs="Times New Roman"/>
          <w:sz w:val="24"/>
          <w:szCs w:val="24"/>
        </w:rPr>
        <w:t>2 s、</w:t>
      </w:r>
      <w:r>
        <w:rPr>
          <w:rFonts w:hint="eastAsia"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s和</w:t>
      </w:r>
      <w:r>
        <w:rPr>
          <w:rFonts w:hint="eastAsia"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 xml:space="preserve"> s</w:t>
      </w:r>
      <w:r>
        <w:rPr>
          <w:rFonts w:hint="eastAsia" w:ascii="Times New Roman" w:hAnsi="Times New Roman" w:cs="Times New Roman"/>
          <w:sz w:val="24"/>
          <w:szCs w:val="24"/>
        </w:rPr>
        <w:t>的调整过程后稳定在</w:t>
      </w:r>
      <w:r>
        <w:rPr>
          <w:rFonts w:ascii="Times New Roman" w:hAnsi="Times New Roman" w:cs="Times New Roman"/>
          <w:sz w:val="24"/>
          <w:szCs w:val="24"/>
        </w:rPr>
        <w:t>150 MPa，单向阀开启的</w:t>
      </w:r>
      <w:r>
        <w:rPr>
          <w:rFonts w:hint="eastAsia" w:ascii="Times New Roman" w:hAnsi="Times New Roman" w:cs="Times New Roman"/>
          <w:sz w:val="24"/>
          <w:szCs w:val="24"/>
        </w:rPr>
        <w:t>时长</w:t>
      </w:r>
      <w:r>
        <w:rPr>
          <w:rFonts w:ascii="Times New Roman" w:hAnsi="Times New Roman" w:cs="Times New Roman"/>
          <w:sz w:val="24"/>
          <w:szCs w:val="24"/>
        </w:rPr>
        <w:t>应</w:t>
      </w:r>
      <w:r>
        <w:rPr>
          <w:rFonts w:hint="eastAsia" w:ascii="Times New Roman" w:hAnsi="Times New Roman" w:cs="Times New Roman"/>
          <w:sz w:val="24"/>
          <w:szCs w:val="24"/>
        </w:rPr>
        <w:t>如何</w:t>
      </w:r>
      <w:r>
        <w:rPr>
          <w:rFonts w:ascii="Times New Roman" w:hAnsi="Times New Roman" w:cs="Times New Roman"/>
          <w:sz w:val="24"/>
          <w:szCs w:val="24"/>
        </w:rPr>
        <w:t>调整？</w:t>
      </w:r>
    </w:p>
    <w:p>
      <w:pPr>
        <w:spacing w:line="360" w:lineRule="auto"/>
        <w:ind w:left="1077" w:leftChars="513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drawing>
          <wp:inline distT="0" distB="0" distL="0" distR="0">
            <wp:extent cx="3206115" cy="932180"/>
            <wp:effectExtent l="0" t="0" r="698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6115" cy="932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2520" w:firstLineChars="105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图2 喷油速率示意图</w:t>
      </w:r>
    </w:p>
    <w:p>
      <w:pPr>
        <w:autoSpaceDE w:val="0"/>
        <w:autoSpaceDN w:val="0"/>
        <w:adjustRightInd w:val="0"/>
        <w:spacing w:line="360" w:lineRule="auto"/>
        <w:ind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b/>
          <w:sz w:val="24"/>
          <w:szCs w:val="24"/>
        </w:rPr>
        <w:t xml:space="preserve">注1. </w:t>
      </w:r>
      <w:r>
        <w:rPr>
          <w:rFonts w:ascii="Times New Roman" w:hAnsi="Times New Roman" w:eastAsia="宋体" w:cs="Times New Roman"/>
          <w:sz w:val="24"/>
          <w:szCs w:val="24"/>
        </w:rPr>
        <w:t>燃油的压力变化</w:t>
      </w:r>
      <w:r>
        <w:rPr>
          <w:rFonts w:hint="eastAsia" w:ascii="Times New Roman" w:hAnsi="Times New Roman" w:eastAsia="宋体" w:cs="Times New Roman"/>
          <w:sz w:val="24"/>
          <w:szCs w:val="24"/>
        </w:rPr>
        <w:t>量</w:t>
      </w:r>
      <w:r>
        <w:rPr>
          <w:rFonts w:ascii="Times New Roman" w:hAnsi="Times New Roman" w:eastAsia="宋体" w:cs="Times New Roman"/>
          <w:sz w:val="24"/>
          <w:szCs w:val="24"/>
        </w:rPr>
        <w:t>与密度变化</w:t>
      </w:r>
      <w:r>
        <w:rPr>
          <w:rFonts w:hint="eastAsia" w:ascii="Times New Roman" w:hAnsi="Times New Roman" w:eastAsia="宋体" w:cs="Times New Roman"/>
          <w:sz w:val="24"/>
          <w:szCs w:val="24"/>
        </w:rPr>
        <w:t>量</w:t>
      </w:r>
      <w:r>
        <w:rPr>
          <w:rFonts w:ascii="Times New Roman" w:hAnsi="Times New Roman" w:eastAsia="宋体" w:cs="Times New Roman"/>
          <w:sz w:val="24"/>
          <w:szCs w:val="24"/>
        </w:rPr>
        <w:t>成正比，比例系数为</w:t>
      </w:r>
      <m:oMath>
        <m:f>
          <m:fPr>
            <m:ctrlPr>
              <w:rPr>
                <w:rFonts w:ascii="Cambria Math" w:hAnsi="Cambria Math" w:eastAsia="宋体" w:cs="Times New Roman"/>
                <w:i/>
                <w:sz w:val="24"/>
                <w:szCs w:val="24"/>
              </w:rPr>
            </m:ctrlPr>
          </m:fPr>
          <m:num>
            <m:r>
              <m:rPr/>
              <w:rPr>
                <w:rFonts w:hint="eastAsia" w:ascii="Cambria Math" w:hAnsi="Cambria Math" w:eastAsia="宋体" w:cs="Times New Roman"/>
                <w:sz w:val="24"/>
                <w:szCs w:val="24"/>
              </w:rPr>
              <m:t>E</m:t>
            </m:r>
            <m:ctrlPr>
              <w:rPr>
                <w:rFonts w:hint="eastAsia" w:ascii="Cambria Math" w:hAnsi="Cambria Math" w:eastAsia="宋体" w:cs="Times New Roman"/>
                <w:i/>
                <w:sz w:val="24"/>
                <w:szCs w:val="24"/>
              </w:rPr>
            </m:ctrlPr>
          </m:num>
          <m:den>
            <m:r>
              <m:rPr/>
              <w:rPr>
                <w:rFonts w:ascii="Cambria Math" w:hAnsi="Cambria Math" w:eastAsia="宋体" w:cs="Times New Roman"/>
                <w:sz w:val="24"/>
                <w:szCs w:val="24"/>
              </w:rPr>
              <m:t>ρ</m:t>
            </m:r>
            <m:ctrlPr>
              <w:rPr>
                <w:rFonts w:ascii="Cambria Math" w:hAnsi="Cambria Math" w:eastAsia="宋体" w:cs="Times New Roman"/>
                <w:i/>
                <w:sz w:val="24"/>
                <w:szCs w:val="24"/>
              </w:rPr>
            </m:ctrlPr>
          </m:den>
        </m:f>
      </m:oMath>
      <w:r>
        <w:rPr>
          <w:rFonts w:ascii="Times New Roman" w:hAnsi="Times New Roman" w:eastAsia="宋体" w:cs="Times New Roman"/>
          <w:sz w:val="24"/>
          <w:szCs w:val="24"/>
        </w:rPr>
        <w:t>，其中</w:t>
      </w:r>
      <m:oMath>
        <m:r>
          <m:rPr/>
          <w:rPr>
            <w:rFonts w:ascii="Cambria Math" w:hAnsi="Cambria Math" w:eastAsia="宋体" w:cs="Times New Roman"/>
            <w:sz w:val="24"/>
            <w:szCs w:val="24"/>
          </w:rPr>
          <m:t>ρ</m:t>
        </m:r>
      </m:oMath>
      <w:r>
        <w:rPr>
          <w:rFonts w:ascii="Times New Roman" w:hAnsi="Times New Roman" w:eastAsia="宋体" w:cs="Times New Roman"/>
          <w:sz w:val="24"/>
          <w:szCs w:val="24"/>
        </w:rPr>
        <w:t>为燃油的密度，当压力为100</w:t>
      </w:r>
      <w:r>
        <w:rPr>
          <w:rFonts w:hint="eastAsia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ascii="Times New Roman" w:hAnsi="Times New Roman" w:eastAsia="宋体" w:cs="Times New Roman"/>
          <w:sz w:val="24"/>
          <w:szCs w:val="24"/>
        </w:rPr>
        <w:t>MPa时，燃油的密度为</w:t>
      </w:r>
      <w:r>
        <w:rPr>
          <w:rFonts w:hint="eastAsia" w:ascii="Times New Roman" w:hAnsi="Times New Roman" w:eastAsia="宋体" w:cs="Times New Roman"/>
          <w:sz w:val="24"/>
          <w:szCs w:val="24"/>
        </w:rPr>
        <w:t>0.850 mg/mm</w:t>
      </w:r>
      <w:r>
        <w:rPr>
          <w:rFonts w:hint="eastAsia" w:ascii="Times New Roman" w:hAnsi="Times New Roman" w:eastAsia="宋体" w:cs="Times New Roman"/>
          <w:sz w:val="24"/>
          <w:szCs w:val="24"/>
          <w:vertAlign w:val="superscript"/>
        </w:rPr>
        <w:t>3</w:t>
      </w:r>
      <w:bookmarkStart w:id="0" w:name="_Hlk2882521"/>
      <w:r>
        <w:rPr>
          <w:rFonts w:ascii="Times New Roman" w:hAnsi="Times New Roman" w:eastAsia="宋体" w:cs="Times New Roman"/>
          <w:sz w:val="24"/>
          <w:szCs w:val="24"/>
        </w:rPr>
        <w:t>。</w:t>
      </w:r>
      <w:bookmarkEnd w:id="0"/>
      <m:oMath>
        <m:r>
          <m:rPr/>
          <w:rPr>
            <w:rFonts w:hint="eastAsia" w:ascii="Cambria Math" w:hAnsi="Cambria Math" w:eastAsia="宋体" w:cs="Times New Roman"/>
            <w:sz w:val="24"/>
            <w:szCs w:val="24"/>
          </w:rPr>
          <m:t>E</m:t>
        </m:r>
      </m:oMath>
      <w:r>
        <w:rPr>
          <w:rFonts w:ascii="Times New Roman" w:hAnsi="Times New Roman" w:eastAsia="宋体" w:cs="Times New Roman"/>
          <w:sz w:val="24"/>
          <w:szCs w:val="24"/>
        </w:rPr>
        <w:t>为弹性模量，</w:t>
      </w:r>
      <w:r>
        <w:rPr>
          <w:rFonts w:ascii="Times New Roman" w:hAnsi="Times New Roman" w:cs="Times New Roman"/>
          <w:sz w:val="24"/>
          <w:szCs w:val="24"/>
        </w:rPr>
        <w:t>其</w:t>
      </w:r>
      <w:r>
        <w:rPr>
          <w:rFonts w:ascii="Times New Roman" w:hAnsi="Times New Roman" w:eastAsia="宋体" w:cs="Times New Roman"/>
          <w:sz w:val="24"/>
          <w:szCs w:val="24"/>
        </w:rPr>
        <w:t>与压力的关系见附件3。</w:t>
      </w:r>
    </w:p>
    <w:p>
      <w:pPr>
        <w:autoSpaceDE w:val="0"/>
        <w:autoSpaceDN w:val="0"/>
        <w:adjustRightInd w:val="0"/>
        <w:spacing w:line="360" w:lineRule="auto"/>
        <w:rPr>
          <w:rFonts w:ascii="Times New Roman" w:hAnsi="Times New Roman" w:eastAsia="宋体" w:cs="Times New Roman"/>
          <w:sz w:val="24"/>
          <w:szCs w:val="24"/>
        </w:rPr>
      </w:pPr>
      <w:r>
        <w:drawing>
          <wp:inline distT="0" distB="0" distL="114300" distR="114300">
            <wp:extent cx="5266690" cy="1225550"/>
            <wp:effectExtent l="0" t="0" r="381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ind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b/>
          <w:sz w:val="24"/>
          <w:szCs w:val="24"/>
        </w:rPr>
        <w:t xml:space="preserve">注2. </w:t>
      </w:r>
      <w:r>
        <w:rPr>
          <w:rFonts w:hint="eastAsia" w:ascii="Times New Roman" w:hAnsi="Times New Roman" w:eastAsia="宋体" w:cs="Times New Roman"/>
          <w:sz w:val="24"/>
          <w:szCs w:val="24"/>
        </w:rPr>
        <w:t>进出高压油管的流量为</w:t>
      </w:r>
      <m:oMath>
        <m:r>
          <m:rPr/>
          <w:rPr>
            <w:rFonts w:hint="eastAsia" w:ascii="Cambria Math" w:hAnsi="Cambria Math" w:eastAsia="宋体" w:cs="Times New Roman"/>
            <w:sz w:val="24"/>
            <w:szCs w:val="24"/>
          </w:rPr>
          <m:t>Q</m:t>
        </m:r>
        <m:r>
          <m:rPr/>
          <w:rPr>
            <w:rFonts w:ascii="Cambria Math" w:hAnsi="Cambria Math" w:eastAsia="宋体" w:cs="Times New Roman"/>
            <w:sz w:val="24"/>
            <w:szCs w:val="24"/>
          </w:rPr>
          <m:t>=CA</m:t>
        </m:r>
        <m:rad>
          <m:radPr>
            <m:degHide m:val="1"/>
            <m:ctrlPr>
              <w:rPr>
                <w:rFonts w:ascii="Cambria Math" w:hAnsi="Cambria Math" w:eastAsia="宋体" w:cs="Times New Roman"/>
                <w:i/>
                <w:sz w:val="24"/>
                <w:szCs w:val="24"/>
              </w:rPr>
            </m:ctrlPr>
          </m:radPr>
          <m:deg>
            <m:ctrlPr>
              <w:rPr>
                <w:rFonts w:ascii="Cambria Math" w:hAnsi="Cambria Math" w:eastAsia="宋体" w:cs="Times New Roman"/>
                <w:i/>
                <w:sz w:val="24"/>
                <w:szCs w:val="24"/>
              </w:rPr>
            </m:ctrlPr>
          </m:deg>
          <m:e>
            <m:f>
              <m:fPr>
                <m:ctrlPr>
                  <w:rPr>
                    <w:rFonts w:ascii="Cambria Math" w:hAnsi="Cambria Math" w:eastAsia="宋体" w:cs="Times New Roman"/>
                    <w:i/>
                    <w:sz w:val="24"/>
                    <w:szCs w:val="24"/>
                  </w:rPr>
                </m:ctrlPr>
              </m:fPr>
              <m:num>
                <m:r>
                  <m:rPr/>
                  <w:rPr>
                    <w:rFonts w:ascii="Cambria Math" w:hAnsi="Cambria Math" w:eastAsia="宋体" w:cs="Times New Roman"/>
                    <w:sz w:val="24"/>
                    <w:szCs w:val="24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hAnsi="Cambria Math" w:eastAsia="宋体" w:cs="Times New Roman"/>
                    <w:sz w:val="24"/>
                    <w:szCs w:val="24"/>
                  </w:rPr>
                  <m:t>Δ</m:t>
                </m:r>
                <m:r>
                  <m:rPr/>
                  <w:rPr>
                    <w:rFonts w:ascii="Cambria Math" w:hAnsi="Cambria Math" w:eastAsia="宋体" w:cs="Times New Roman"/>
                    <w:sz w:val="24"/>
                    <w:szCs w:val="24"/>
                  </w:rPr>
                  <m:t>P</m:t>
                </m:r>
                <m:ctrlPr>
                  <w:rPr>
                    <w:rFonts w:ascii="Cambria Math" w:hAnsi="Cambria Math" w:eastAsia="宋体" w:cs="Times New Roman"/>
                    <w:i/>
                    <w:sz w:val="24"/>
                    <w:szCs w:val="24"/>
                  </w:rPr>
                </m:ctrlPr>
              </m:num>
              <m:den>
                <m:r>
                  <m:rPr/>
                  <w:rPr>
                    <w:rFonts w:ascii="Cambria Math" w:hAnsi="Cambria Math" w:eastAsia="宋体" w:cs="Times New Roman"/>
                    <w:sz w:val="24"/>
                    <w:szCs w:val="24"/>
                  </w:rPr>
                  <m:t>ρ</m:t>
                </m:r>
                <m:ctrlPr>
                  <w:rPr>
                    <w:rFonts w:ascii="Cambria Math" w:hAnsi="Cambria Math" w:eastAsia="宋体" w:cs="Times New Roman"/>
                    <w:i/>
                    <w:sz w:val="24"/>
                    <w:szCs w:val="24"/>
                  </w:rPr>
                </m:ctrlPr>
              </m:den>
            </m:f>
            <m:ctrlPr>
              <w:rPr>
                <w:rFonts w:ascii="Cambria Math" w:hAnsi="Cambria Math" w:eastAsia="宋体" w:cs="Times New Roman"/>
                <w:i/>
                <w:sz w:val="24"/>
                <w:szCs w:val="24"/>
              </w:rPr>
            </m:ctrlPr>
          </m:e>
        </m:rad>
      </m:oMath>
      <w:r>
        <w:rPr>
          <w:rFonts w:ascii="Times New Roman" w:hAnsi="Times New Roman" w:eastAsia="宋体" w:cs="Times New Roman"/>
          <w:sz w:val="24"/>
          <w:szCs w:val="24"/>
        </w:rPr>
        <w:t>，其中</w:t>
      </w:r>
      <m:oMath>
        <m:r>
          <m:rPr/>
          <w:rPr>
            <w:rFonts w:hint="eastAsia" w:ascii="Cambria Math" w:hAnsi="Cambria Math" w:eastAsia="宋体" w:cs="Times New Roman"/>
            <w:sz w:val="24"/>
            <w:szCs w:val="24"/>
          </w:rPr>
          <m:t>Q</m:t>
        </m:r>
      </m:oMath>
      <w:r>
        <w:rPr>
          <w:rFonts w:hint="eastAsia" w:ascii="Times New Roman" w:hAnsi="Times New Roman" w:eastAsia="宋体" w:cs="Times New Roman"/>
          <w:sz w:val="24"/>
          <w:szCs w:val="24"/>
        </w:rPr>
        <w:t>为单位时间流过小孔的燃油量（mm</w:t>
      </w:r>
      <w:r>
        <w:rPr>
          <w:rFonts w:hint="eastAsia" w:ascii="Times New Roman" w:hAnsi="Times New Roman" w:eastAsia="宋体" w:cs="Times New Roman"/>
          <w:sz w:val="24"/>
          <w:szCs w:val="24"/>
          <w:vertAlign w:val="superscript"/>
        </w:rPr>
        <w:t>3</w:t>
      </w:r>
      <w:r>
        <w:rPr>
          <w:rFonts w:hint="eastAsia" w:ascii="Times New Roman" w:hAnsi="Times New Roman" w:eastAsia="宋体" w:cs="Times New Roman"/>
          <w:sz w:val="24"/>
          <w:szCs w:val="24"/>
        </w:rPr>
        <w:t>/ms），</w:t>
      </w:r>
      <m:oMath>
        <m:r>
          <m:rPr/>
          <w:rPr>
            <w:rFonts w:ascii="Cambria Math" w:hAnsi="Cambria Math" w:eastAsia="宋体" w:cs="Times New Roman"/>
            <w:sz w:val="24"/>
            <w:szCs w:val="24"/>
          </w:rPr>
          <m:t>C</m:t>
        </m:r>
        <m:r>
          <m:rPr>
            <m:sty m:val="p"/>
          </m:rPr>
          <w:rPr>
            <w:rFonts w:ascii="Cambria Math" w:hAnsi="Cambria Math" w:eastAsia="宋体" w:cs="Times New Roman"/>
            <w:sz w:val="24"/>
            <w:szCs w:val="24"/>
          </w:rPr>
          <m:t>=0.85</m:t>
        </m:r>
      </m:oMath>
      <w:r>
        <w:rPr>
          <w:rFonts w:ascii="Times New Roman" w:hAnsi="Times New Roman" w:eastAsia="宋体" w:cs="Times New Roman"/>
          <w:sz w:val="24"/>
          <w:szCs w:val="24"/>
        </w:rPr>
        <w:t>为流量系数，</w:t>
      </w:r>
      <m:oMath>
        <m:r>
          <m:rPr/>
          <w:rPr>
            <w:rFonts w:ascii="Cambria Math" w:hAnsi="Cambria Math" w:eastAsia="宋体" w:cs="Times New Roman"/>
            <w:sz w:val="24"/>
            <w:szCs w:val="24"/>
          </w:rPr>
          <m:t>A</m:t>
        </m:r>
      </m:oMath>
      <w:r>
        <w:rPr>
          <w:rFonts w:ascii="Times New Roman" w:hAnsi="Times New Roman" w:eastAsia="宋体" w:cs="Times New Roman"/>
          <w:sz w:val="24"/>
          <w:szCs w:val="24"/>
        </w:rPr>
        <w:t>为小孔的面积（mm</w:t>
      </w:r>
      <w:r>
        <w:rPr>
          <w:rFonts w:hint="eastAsia" w:ascii="Times New Roman" w:hAnsi="Times New Roman" w:eastAsia="宋体" w:cs="Times New Roman"/>
          <w:sz w:val="24"/>
          <w:szCs w:val="24"/>
          <w:vertAlign w:val="superscript"/>
        </w:rPr>
        <w:t>2</w:t>
      </w:r>
      <w:r>
        <w:rPr>
          <w:rFonts w:ascii="Times New Roman" w:hAnsi="Times New Roman" w:eastAsia="宋体" w:cs="Times New Roman"/>
          <w:sz w:val="24"/>
          <w:szCs w:val="24"/>
        </w:rPr>
        <w:t>）</w:t>
      </w:r>
      <w:r>
        <w:rPr>
          <w:rFonts w:hint="eastAsia" w:ascii="Times New Roman" w:hAnsi="Times New Roman" w:eastAsia="宋体" w:cs="Times New Roman"/>
          <w:sz w:val="24"/>
          <w:szCs w:val="24"/>
        </w:rPr>
        <w:t>，</w:t>
      </w:r>
      <m:oMath>
        <m:r>
          <m:rPr>
            <m:sty m:val="p"/>
          </m:rPr>
          <w:rPr>
            <w:rFonts w:ascii="Cambria Math" w:hAnsi="Cambria Math" w:eastAsia="宋体" w:cs="Times New Roman"/>
            <w:sz w:val="24"/>
            <w:szCs w:val="24"/>
          </w:rPr>
          <m:t>Δ</m:t>
        </m:r>
        <m:r>
          <m:rPr/>
          <w:rPr>
            <w:rFonts w:ascii="Cambria Math" w:hAnsi="Cambria Math" w:eastAsia="宋体" w:cs="Times New Roman"/>
            <w:sz w:val="24"/>
            <w:szCs w:val="24"/>
          </w:rPr>
          <m:t>P</m:t>
        </m:r>
      </m:oMath>
      <w:r>
        <w:rPr>
          <w:rFonts w:ascii="Times New Roman" w:hAnsi="Times New Roman" w:eastAsia="宋体" w:cs="Times New Roman"/>
          <w:sz w:val="24"/>
          <w:szCs w:val="24"/>
        </w:rPr>
        <w:t>为小孔两边的压力差（MP</w:t>
      </w:r>
      <w:r>
        <w:rPr>
          <w:rFonts w:hint="eastAsia" w:ascii="Times New Roman" w:hAnsi="Times New Roman" w:eastAsia="宋体" w:cs="Times New Roman"/>
          <w:sz w:val="24"/>
          <w:szCs w:val="24"/>
        </w:rPr>
        <w:t>a</w:t>
      </w:r>
      <w:r>
        <w:rPr>
          <w:rFonts w:ascii="Times New Roman" w:hAnsi="Times New Roman" w:eastAsia="宋体" w:cs="Times New Roman"/>
          <w:sz w:val="24"/>
          <w:szCs w:val="24"/>
        </w:rPr>
        <w:t>），</w:t>
      </w:r>
      <m:oMath>
        <m:r>
          <m:rPr/>
          <w:rPr>
            <w:rFonts w:ascii="Cambria Math" w:hAnsi="Cambria Math" w:eastAsia="宋体" w:cs="Times New Roman"/>
            <w:sz w:val="24"/>
            <w:szCs w:val="24"/>
          </w:rPr>
          <m:t>ρ</m:t>
        </m:r>
      </m:oMath>
      <w:r>
        <w:rPr>
          <w:rFonts w:ascii="Times New Roman" w:hAnsi="Times New Roman" w:eastAsia="宋体" w:cs="Times New Roman"/>
          <w:sz w:val="24"/>
          <w:szCs w:val="24"/>
        </w:rPr>
        <w:t>为高压侧燃油的密度（</w:t>
      </w:r>
      <w:r>
        <w:rPr>
          <w:rFonts w:hint="eastAsia" w:ascii="Times New Roman" w:hAnsi="Times New Roman" w:eastAsia="宋体" w:cs="Times New Roman"/>
          <w:sz w:val="24"/>
          <w:szCs w:val="24"/>
        </w:rPr>
        <w:t>mg/mm</w:t>
      </w:r>
      <w:r>
        <w:rPr>
          <w:rFonts w:hint="eastAsia" w:ascii="Times New Roman" w:hAnsi="Times New Roman" w:eastAsia="宋体" w:cs="Times New Roman"/>
          <w:sz w:val="24"/>
          <w:szCs w:val="24"/>
          <w:vertAlign w:val="superscript"/>
        </w:rPr>
        <w:t>3</w:t>
      </w:r>
      <w:r>
        <w:rPr>
          <w:rFonts w:ascii="Times New Roman" w:hAnsi="Times New Roman" w:eastAsia="宋体" w:cs="Times New Roman"/>
          <w:sz w:val="24"/>
          <w:szCs w:val="24"/>
        </w:rPr>
        <w:t>）。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84500" cy="2413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三次拟合</w:t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position w:val="-6"/>
          <w:lang w:eastAsia="zh-CN"/>
        </w:rPr>
        <w:object>
          <v:shape id="_x0000_i1025" o:spt="75" type="#_x0000_t75" style="height:16pt;width:253pt;" o:ole="t" filled="f" o:preferrelative="t" stroked="f" coordsize="21600,21600">
            <v:path/>
            <v:fill on="f" focussize="0,0"/>
            <v:stroke on="f"/>
            <v:imagedata r:id="rId9" o:title=""/>
            <o:lock v:ext="edit" aspectratio="t"/>
            <w10:wrap type="none"/>
            <w10:anchorlock/>
          </v:shape>
          <o:OLEObject Type="Embed" ProgID="Equation.KSEE3" ShapeID="_x0000_i1025" DrawAspect="Content" ObjectID="_1468075725" r:id="rId8">
            <o:LockedField>false</o:LockedField>
          </o:OLEObject>
        </w:object>
      </w:r>
    </w:p>
    <w:p>
      <w:pPr>
        <w:jc w:val="center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3044825" cy="2639695"/>
            <wp:effectExtent l="0" t="0" r="317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2405" cy="2490470"/>
            <wp:effectExtent l="0" t="0" r="10795" b="1143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495800" cy="723900"/>
            <wp:effectExtent l="0" t="0" r="0" b="0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1458595" cy="1153795"/>
            <wp:effectExtent l="0" t="0" r="190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58595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1770" cy="3295650"/>
            <wp:effectExtent l="0" t="0" r="1143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1770" cy="5825490"/>
            <wp:effectExtent l="0" t="0" r="1143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2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2405" cy="4187825"/>
            <wp:effectExtent l="0" t="0" r="1079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8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69230" cy="2881630"/>
            <wp:effectExtent l="0" t="0" r="127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69865" cy="4731385"/>
            <wp:effectExtent l="0" t="0" r="635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690110" cy="3131185"/>
            <wp:effectExtent l="0" t="0" r="8890" b="571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648200" cy="2928620"/>
            <wp:effectExtent l="0" t="0" r="0" b="508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937760" cy="2720975"/>
            <wp:effectExtent l="0" t="0" r="2540" b="9525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459605" cy="2385695"/>
            <wp:effectExtent l="0" t="0" r="10795" b="1905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9605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64150" cy="2521585"/>
            <wp:effectExtent l="0" t="0" r="6350" b="5715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9230" cy="4885690"/>
            <wp:effectExtent l="0" t="0" r="1270" b="3810"/>
            <wp:docPr id="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8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1770" cy="3009265"/>
            <wp:effectExtent l="0" t="0" r="11430" b="63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6055" cy="3004185"/>
            <wp:effectExtent l="0" t="0" r="4445" b="5715"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086985" cy="3280410"/>
            <wp:effectExtent l="0" t="0" r="5715" b="8890"/>
            <wp:docPr id="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6985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935855" cy="3093085"/>
            <wp:effectExtent l="0" t="0" r="4445" b="5715"/>
            <wp:docPr id="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5855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829175" cy="2214880"/>
            <wp:effectExtent l="0" t="0" r="9525" b="7620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2405" cy="3495040"/>
            <wp:effectExtent l="0" t="0" r="10795" b="10160"/>
            <wp:docPr id="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  <w:bookmarkStart w:id="1" w:name="_GoBack"/>
      <w:r>
        <w:drawing>
          <wp:inline distT="0" distB="0" distL="114300" distR="114300">
            <wp:extent cx="5273675" cy="4246245"/>
            <wp:effectExtent l="0" t="0" r="9525" b="8255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Courier New">
    <w:panose1 w:val="02070309020205020404"/>
    <w:charset w:val="86"/>
    <w:family w:val="auto"/>
    <w:pitch w:val="default"/>
    <w:sig w:usb0="E0002EFF" w:usb1="C0007843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EzNWI4ZGYwZDFkNTllYjAzNTY0MjcyY2JlZjM2ZDYifQ=="/>
  </w:docVars>
  <w:rsids>
    <w:rsidRoot w:val="00172A27"/>
    <w:rsid w:val="0EF7692C"/>
    <w:rsid w:val="400E3B24"/>
    <w:rsid w:val="5EBF6C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wmf"/><Relationship Id="rId8" Type="http://schemas.openxmlformats.org/officeDocument/2006/relationships/oleObject" Target="embeddings/oleObject1.bin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41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2024-01-19T04:58:00Z</dcterms:created>
  <dc:creator>27646</dc:creator>
  <cp:lastModifiedBy>张文滔</cp:lastModifiedBy>
  <dcterms:modified xsi:type="dcterms:W3CDTF">2024-01-20T12:00:57Z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B853F957DE75482D93B3A8A986A90F1C_12</vt:lpwstr>
  </property>
</Properties>
</file>